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EBD7962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B81702" w:rsidRPr="002C5095">
        <w:rPr>
          <w:rFonts w:ascii="Arial" w:hAnsi="Arial" w:cs="Arial"/>
          <w:sz w:val="22"/>
          <w:szCs w:val="22"/>
        </w:rPr>
        <w:t>Kroměříž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B81702" w:rsidRPr="00B81702">
        <w:rPr>
          <w:rFonts w:ascii="Arial" w:hAnsi="Arial" w:cs="Arial"/>
          <w:snapToGrid w:val="0"/>
          <w:sz w:val="22"/>
          <w:szCs w:val="22"/>
        </w:rPr>
        <w:t>Riegrovo nám. 3228/22, 767 01 Kroměříž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262060A7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Jaromír Vlach </w:t>
      </w:r>
    </w:p>
    <w:p w14:paraId="75B59BEE" w14:textId="317AA3DF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704095" w:rsidRPr="004C0602">
        <w:rPr>
          <w:rFonts w:ascii="Arial" w:hAnsi="Arial" w:cs="Arial"/>
          <w:sz w:val="22"/>
          <w:szCs w:val="22"/>
        </w:rPr>
        <w:t>Kroměříž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F900475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> 725 548 191</w:t>
      </w:r>
    </w:p>
    <w:p w14:paraId="6DA97DD3" w14:textId="5D926F72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04031" w:rsidRPr="004C0602">
        <w:rPr>
          <w:rFonts w:ascii="Arial" w:hAnsi="Arial" w:cs="Arial"/>
          <w:snapToGrid w:val="0"/>
          <w:sz w:val="22"/>
          <w:szCs w:val="22"/>
        </w:rPr>
        <w:t>jaromir.vlach@spu.gov.cz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7B37C489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784F05">
        <w:rPr>
          <w:rFonts w:ascii="Arial" w:hAnsi="Arial" w:cs="Arial"/>
          <w:b/>
          <w:bCs/>
          <w:sz w:val="22"/>
          <w:szCs w:val="22"/>
        </w:rPr>
        <w:t>9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19247D">
        <w:rPr>
          <w:rFonts w:ascii="Arial" w:hAnsi="Arial" w:cs="Arial"/>
          <w:b/>
          <w:bCs/>
          <w:sz w:val="22"/>
          <w:szCs w:val="22"/>
        </w:rPr>
        <w:t>Kroměříž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784F05">
        <w:rPr>
          <w:rFonts w:ascii="Arial" w:hAnsi="Arial" w:cs="Arial"/>
          <w:b/>
          <w:bCs/>
          <w:sz w:val="22"/>
          <w:szCs w:val="22"/>
        </w:rPr>
        <w:t>I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0FEC8E9C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19247D">
        <w:rPr>
          <w:rFonts w:ascii="Arial" w:hAnsi="Arial" w:cs="Arial"/>
          <w:sz w:val="22"/>
          <w:szCs w:val="22"/>
        </w:rPr>
        <w:t>Kroměříž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42F9E5C9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CF5FBF" w:rsidRPr="00CF5FBF">
        <w:rPr>
          <w:rFonts w:ascii="Arial" w:hAnsi="Arial" w:cs="Arial"/>
          <w:sz w:val="22"/>
          <w:szCs w:val="22"/>
        </w:rPr>
        <w:t>Martinice</w:t>
      </w:r>
      <w:r w:rsidR="00566D53" w:rsidRPr="00566D53">
        <w:rPr>
          <w:rFonts w:ascii="Arial" w:hAnsi="Arial" w:cs="Arial"/>
          <w:sz w:val="22"/>
          <w:szCs w:val="22"/>
        </w:rPr>
        <w:t xml:space="preserve">, </w:t>
      </w:r>
      <w:r w:rsidR="00C24553" w:rsidRPr="00C24553">
        <w:rPr>
          <w:rFonts w:ascii="Arial" w:hAnsi="Arial" w:cs="Arial"/>
          <w:sz w:val="22"/>
          <w:szCs w:val="22"/>
        </w:rPr>
        <w:t>Vrbka u Sulimova</w:t>
      </w:r>
      <w:r w:rsidR="00C24553">
        <w:rPr>
          <w:rFonts w:ascii="Arial" w:hAnsi="Arial" w:cs="Arial"/>
          <w:sz w:val="22"/>
          <w:szCs w:val="22"/>
        </w:rPr>
        <w:t xml:space="preserve"> </w:t>
      </w:r>
      <w:r w:rsidR="00566D53">
        <w:rPr>
          <w:rFonts w:ascii="Arial" w:hAnsi="Arial" w:cs="Arial"/>
          <w:sz w:val="22"/>
          <w:szCs w:val="22"/>
        </w:rPr>
        <w:t>a</w:t>
      </w:r>
      <w:r w:rsidR="00566D53" w:rsidRPr="00566D53">
        <w:rPr>
          <w:rFonts w:ascii="Arial" w:hAnsi="Arial" w:cs="Arial"/>
          <w:sz w:val="22"/>
          <w:szCs w:val="22"/>
        </w:rPr>
        <w:t xml:space="preserve"> </w:t>
      </w:r>
      <w:r w:rsidR="00C24553" w:rsidRPr="00C24553">
        <w:rPr>
          <w:rFonts w:ascii="Arial" w:hAnsi="Arial" w:cs="Arial"/>
          <w:sz w:val="22"/>
          <w:szCs w:val="22"/>
        </w:rPr>
        <w:t>Žeranovice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494370">
        <w:rPr>
          <w:rFonts w:ascii="Arial" w:hAnsi="Arial" w:cs="Arial"/>
          <w:sz w:val="22"/>
          <w:szCs w:val="22"/>
        </w:rPr>
        <w:t>Kroměříž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1489C4DA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281A28">
        <w:rPr>
          <w:rFonts w:ascii="Arial" w:hAnsi="Arial" w:cs="Arial"/>
          <w:sz w:val="22"/>
          <w:szCs w:val="22"/>
        </w:rPr>
        <w:t>Kroměříž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481D41DA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C24553" w:rsidRPr="00C24553">
        <w:rPr>
          <w:rFonts w:ascii="Arial" w:hAnsi="Arial" w:cs="Arial"/>
          <w:sz w:val="22"/>
          <w:szCs w:val="22"/>
        </w:rPr>
        <w:t>Martinice, Vrbka u Sulimova a Žeranovice</w:t>
      </w:r>
      <w:r w:rsidR="00D6451F" w:rsidRPr="0042773E">
        <w:rPr>
          <w:rFonts w:ascii="Arial" w:hAnsi="Arial" w:cs="Arial"/>
          <w:sz w:val="22"/>
          <w:szCs w:val="22"/>
        </w:rPr>
        <w:t xml:space="preserve">, </w:t>
      </w:r>
      <w:r w:rsidR="006C0841">
        <w:rPr>
          <w:rFonts w:ascii="Arial" w:hAnsi="Arial" w:cs="Arial"/>
          <w:sz w:val="22"/>
          <w:szCs w:val="22"/>
        </w:rPr>
        <w:br/>
      </w:r>
      <w:r w:rsidR="00D6451F" w:rsidRPr="0042773E">
        <w:rPr>
          <w:rFonts w:ascii="Arial" w:hAnsi="Arial" w:cs="Arial"/>
          <w:sz w:val="22"/>
          <w:szCs w:val="22"/>
        </w:rPr>
        <w:t>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420766" w:rsidRPr="002C5095">
        <w:rPr>
          <w:rFonts w:ascii="Arial" w:hAnsi="Arial" w:cs="Arial"/>
          <w:sz w:val="22"/>
          <w:szCs w:val="22"/>
        </w:rPr>
        <w:t>Kroměříž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1837C51A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Pobočka </w:t>
      </w:r>
      <w:r w:rsidR="002C5095" w:rsidRPr="002C5095">
        <w:rPr>
          <w:rFonts w:ascii="Arial" w:hAnsi="Arial" w:cs="Arial"/>
          <w:sz w:val="22"/>
          <w:szCs w:val="22"/>
        </w:rPr>
        <w:t>Kroměříž, Riegrovo nám. 3228/22, 767 01 Kroměříž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ACF6699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63769">
        <w:rPr>
          <w:rFonts w:ascii="Arial" w:hAnsi="Arial" w:cs="Arial"/>
          <w:b/>
          <w:bCs/>
          <w:sz w:val="22"/>
          <w:szCs w:val="22"/>
        </w:rPr>
        <w:t>86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5A2FA3" w14:paraId="592943B3" w14:textId="77777777" w:rsidTr="006B0B31">
        <w:tc>
          <w:tcPr>
            <w:tcW w:w="3397" w:type="dxa"/>
          </w:tcPr>
          <w:p w14:paraId="0E1689B4" w14:textId="6F479D9C" w:rsidR="005A2FA3" w:rsidRDefault="00F577CC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F577CC">
              <w:rPr>
                <w:rFonts w:ascii="Arial" w:hAnsi="Arial" w:cs="Arial"/>
                <w:iCs/>
                <w:sz w:val="22"/>
                <w:szCs w:val="22"/>
              </w:rPr>
              <w:t>Martinice</w:t>
            </w:r>
          </w:p>
        </w:tc>
        <w:tc>
          <w:tcPr>
            <w:tcW w:w="993" w:type="dxa"/>
          </w:tcPr>
          <w:p w14:paraId="11AD6B80" w14:textId="170A02A4" w:rsidR="005A2FA3" w:rsidRDefault="00F577CC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64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01CE5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7154B178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4C293B98" w14:textId="77777777" w:rsidTr="006B0B31">
        <w:tc>
          <w:tcPr>
            <w:tcW w:w="3397" w:type="dxa"/>
          </w:tcPr>
          <w:p w14:paraId="1F1714A7" w14:textId="3BA0D40C" w:rsidR="005A2FA3" w:rsidRDefault="00F577CC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10FEF">
              <w:rPr>
                <w:rFonts w:ascii="Arial" w:hAnsi="Arial" w:cs="Arial"/>
                <w:iCs/>
                <w:sz w:val="22"/>
                <w:szCs w:val="22"/>
              </w:rPr>
              <w:t>Vrbka u Sulimova</w:t>
            </w:r>
          </w:p>
        </w:tc>
        <w:tc>
          <w:tcPr>
            <w:tcW w:w="993" w:type="dxa"/>
          </w:tcPr>
          <w:p w14:paraId="5380105A" w14:textId="29FA6328" w:rsidR="005A2FA3" w:rsidRDefault="00F577CC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13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30023A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765EC5B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6603F290" w14:textId="77777777" w:rsidTr="006B0B31">
        <w:tc>
          <w:tcPr>
            <w:tcW w:w="3397" w:type="dxa"/>
          </w:tcPr>
          <w:p w14:paraId="64E01C92" w14:textId="7647A9F7" w:rsidR="005A2FA3" w:rsidRDefault="00F577CC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F577CC">
              <w:rPr>
                <w:rFonts w:ascii="Arial" w:hAnsi="Arial" w:cs="Arial"/>
                <w:iCs/>
                <w:sz w:val="22"/>
                <w:szCs w:val="22"/>
              </w:rPr>
              <w:t>Žeranovice</w:t>
            </w:r>
          </w:p>
        </w:tc>
        <w:tc>
          <w:tcPr>
            <w:tcW w:w="993" w:type="dxa"/>
          </w:tcPr>
          <w:p w14:paraId="04B4EB87" w14:textId="667971CF" w:rsidR="005A2FA3" w:rsidRDefault="00F577CC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9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2BBC4F65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723E95C1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7FBDBE38" w14:textId="77777777" w:rsidTr="006B0B31">
        <w:tc>
          <w:tcPr>
            <w:tcW w:w="3397" w:type="dxa"/>
          </w:tcPr>
          <w:p w14:paraId="50FBB3D4" w14:textId="77777777" w:rsidR="00071419" w:rsidRPr="00071419" w:rsidRDefault="00071419" w:rsidP="0007141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3E6A8184" w:rsidR="00071419" w:rsidRPr="00071419" w:rsidRDefault="00F577CC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86</w:t>
            </w:r>
            <w:r w:rsidR="00071419"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E952022" w14:textId="77777777" w:rsidR="00071419" w:rsidRP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071419" w:rsidRP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B2C33DB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420766" w:rsidRPr="002C5095">
        <w:rPr>
          <w:rFonts w:ascii="Arial" w:hAnsi="Arial" w:cs="Arial"/>
          <w:sz w:val="22"/>
          <w:szCs w:val="22"/>
        </w:rPr>
        <w:t>Kroměříž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lastRenderedPageBreak/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C50F99">
        <w:rPr>
          <w:rFonts w:ascii="Arial" w:hAnsi="Arial" w:cs="Arial"/>
          <w:b/>
          <w:snapToGrid w:val="0"/>
          <w:sz w:val="22"/>
          <w:szCs w:val="22"/>
        </w:rPr>
        <w:t>Kroměříž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906139" w:rsidRPr="00906139">
        <w:rPr>
          <w:rFonts w:ascii="Arial" w:hAnsi="Arial" w:cs="Arial"/>
          <w:b/>
          <w:bCs/>
          <w:snapToGrid w:val="0"/>
          <w:sz w:val="22"/>
          <w:szCs w:val="22"/>
        </w:rPr>
        <w:t>Riegrovo nám. 3228/22, 767 01 Kroměříž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03AD47B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906139">
        <w:rPr>
          <w:rFonts w:ascii="Arial" w:hAnsi="Arial" w:cs="Arial"/>
          <w:sz w:val="22"/>
          <w:szCs w:val="22"/>
        </w:rPr>
        <w:t>Kroměříž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4707BBE2" w:rsidR="00AC554A" w:rsidRDefault="00AC554A">
      <w:pPr>
        <w:spacing w:before="0" w:after="200" w:line="276" w:lineRule="auto"/>
        <w:ind w:left="0"/>
        <w:jc w:val="left"/>
        <w:rPr>
          <w:rFonts w:ascii="Arial" w:hAnsi="Arial" w:cs="Arial"/>
          <w:snapToGrid w:val="0"/>
          <w:sz w:val="22"/>
          <w:szCs w:val="22"/>
        </w:rPr>
      </w:pPr>
      <w:bookmarkStart w:id="1" w:name="_Hlk51932588"/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138FD" w14:textId="77777777" w:rsidR="00417C77" w:rsidRDefault="00417C77" w:rsidP="003C2E23">
      <w:pPr>
        <w:spacing w:before="0"/>
      </w:pPr>
      <w:r>
        <w:separator/>
      </w:r>
    </w:p>
  </w:endnote>
  <w:endnote w:type="continuationSeparator" w:id="0">
    <w:p w14:paraId="71B9519D" w14:textId="77777777" w:rsidR="00417C77" w:rsidRDefault="00417C77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CB09" w14:textId="77777777" w:rsidR="00417C77" w:rsidRDefault="00417C77" w:rsidP="003C2E23">
      <w:pPr>
        <w:spacing w:before="0"/>
      </w:pPr>
      <w:r>
        <w:separator/>
      </w:r>
    </w:p>
  </w:footnote>
  <w:footnote w:type="continuationSeparator" w:id="0">
    <w:p w14:paraId="14BE2C09" w14:textId="77777777" w:rsidR="00417C77" w:rsidRDefault="00417C77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19D5079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7240AA">
      <w:rPr>
        <w:rFonts w:ascii="Arial" w:hAnsi="Arial" w:cs="Arial"/>
        <w:sz w:val="16"/>
        <w:szCs w:val="16"/>
      </w:rPr>
      <w:t>Kroměříž</w:t>
    </w:r>
    <w:r w:rsidR="007A20A7">
      <w:rPr>
        <w:rFonts w:ascii="Arial" w:hAnsi="Arial" w:cs="Arial"/>
        <w:sz w:val="16"/>
        <w:szCs w:val="16"/>
      </w:rPr>
      <w:t xml:space="preserve"> 2025 </w:t>
    </w:r>
    <w:r w:rsidR="00784F05">
      <w:rPr>
        <w:rFonts w:ascii="Arial" w:hAnsi="Arial" w:cs="Arial"/>
        <w:sz w:val="16"/>
        <w:szCs w:val="16"/>
      </w:rPr>
      <w:t>I</w:t>
    </w:r>
    <w:r w:rsidR="007A20A7">
      <w:rPr>
        <w:rFonts w:ascii="Arial" w:hAnsi="Arial" w:cs="Arial"/>
        <w:sz w:val="16"/>
        <w:szCs w:val="16"/>
      </w:rPr>
      <w:t>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6075F3CC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704095">
      <w:rPr>
        <w:rFonts w:ascii="Arial" w:hAnsi="Arial" w:cs="Arial"/>
        <w:sz w:val="16"/>
        <w:szCs w:val="16"/>
      </w:rPr>
      <w:t>Kroměříž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784F05">
      <w:rPr>
        <w:rFonts w:ascii="Arial" w:hAnsi="Arial" w:cs="Arial"/>
        <w:sz w:val="16"/>
        <w:szCs w:val="16"/>
      </w:rPr>
      <w:t>I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853D1"/>
    <w:rsid w:val="00085F28"/>
    <w:rsid w:val="00086970"/>
    <w:rsid w:val="00091027"/>
    <w:rsid w:val="000947CE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81B"/>
    <w:rsid w:val="00411B27"/>
    <w:rsid w:val="00412A79"/>
    <w:rsid w:val="0041374A"/>
    <w:rsid w:val="004160DA"/>
    <w:rsid w:val="00417C77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A2316"/>
    <w:rsid w:val="006A6A69"/>
    <w:rsid w:val="006A6EC7"/>
    <w:rsid w:val="006B0B31"/>
    <w:rsid w:val="006B2EE2"/>
    <w:rsid w:val="006B7D60"/>
    <w:rsid w:val="006C0841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0CBD"/>
    <w:rsid w:val="00781E3F"/>
    <w:rsid w:val="007848EE"/>
    <w:rsid w:val="00784F05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B50BB"/>
    <w:rsid w:val="008B77CF"/>
    <w:rsid w:val="008B77F6"/>
    <w:rsid w:val="008C08A2"/>
    <w:rsid w:val="008C41C1"/>
    <w:rsid w:val="008C4215"/>
    <w:rsid w:val="008D2D69"/>
    <w:rsid w:val="008D4CEE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C2E"/>
    <w:rsid w:val="009427AC"/>
    <w:rsid w:val="00956A45"/>
    <w:rsid w:val="009574D7"/>
    <w:rsid w:val="00957761"/>
    <w:rsid w:val="00963769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5AD9"/>
    <w:rsid w:val="00AD699E"/>
    <w:rsid w:val="00AE4C0A"/>
    <w:rsid w:val="00AF0F3B"/>
    <w:rsid w:val="00AF1651"/>
    <w:rsid w:val="00AF1938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6261"/>
    <w:rsid w:val="00BC6A31"/>
    <w:rsid w:val="00BC6F9C"/>
    <w:rsid w:val="00BD4111"/>
    <w:rsid w:val="00BD4F5D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553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86F5F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5FBF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2AF3"/>
    <w:rsid w:val="00EB3FB1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577CC"/>
    <w:rsid w:val="00F60CA8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4829</Words>
  <Characters>28493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2025-09-23T06:51:00Z</dcterms:modified>
</cp:coreProperties>
</file>